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76" w:lineRule="auto"/>
        <w:ind w:left="14.879989624023438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Member Eligibility Check-List </w:t>
      </w:r>
    </w:p>
    <w:p w:rsidR="00000000" w:rsidDel="00000000" w:rsidP="00000000" w:rsidRDefault="00000000" w:rsidRPr="00000000" w14:paraId="00000002">
      <w:pPr>
        <w:widowControl w:val="0"/>
        <w:spacing w:before="79.91943359375" w:line="276" w:lineRule="auto"/>
        <w:ind w:left="7.9199981689453125" w:right="136.466064453125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The purpose of this document is to promote positive and clear communication between staff and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parents/guardians about membership at the Boys &amp; Girls Club (BGC). In order to support the success and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safety of all individuals registered and participating at the BGC, it is important that participants are indeed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"Club ready." To assist in determining if your child is "Club ready," the following criteria have been developed: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afterAutospacing="0" w:before="442.5146484375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is able to participate in Club programs independently or with minor accommodations.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is age 5***-18 years old.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Participant is able to use the restroom independently or with minimal verbal prompting.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is able to take direction and instruction from a staff person.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is comfortable with, and able to interact in a group environment.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can successfully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participate in a group with an adult to child ratio of at least 1 to 20 (one adult to every twenty youth)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interacts and participates in programs in a manner that is physically and emotionally safe for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themselves and others.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before="0" w:beforeAutospacing="0" w:line="276" w:lineRule="auto"/>
        <w:ind w:left="720" w:right="1099.754638671875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does not require physical intervention for redirection, direction, assistance, or for any other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reason.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322.5152587890625" w:line="276" w:lineRule="auto"/>
        <w:ind w:left="7.9199981689453125" w:right="875.147705078125" w:firstLine="10.55999755859375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If you believe that your child may not be ready, or have questions about the above, please feel free to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schedule a meeting with the Unit Director for clarification. </w:t>
      </w:r>
    </w:p>
    <w:p w:rsidR="00000000" w:rsidDel="00000000" w:rsidP="00000000" w:rsidRDefault="00000000" w:rsidRPr="00000000" w14:paraId="0000000C">
      <w:pPr>
        <w:widowControl w:val="0"/>
        <w:spacing w:before="442.5152587890625" w:line="276" w:lineRule="auto"/>
        <w:ind w:left="13.91998291015625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***5 Year Old Membership Requirements: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before="4.9200439453125" w:line="276" w:lineRule="auto"/>
        <w:ind w:left="16.320037841796875" w:firstLine="2.1599578857421875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Due to an increase in need for programming for 5 year olds that are of school age in Indiana, we are expanding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membership eligibility starting in the Fall of the current year.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208.3154296875"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must be 5 years old on or before August 1st of the current year.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must have enrolled in and started Kindergarten in the Fall semester of the current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Youth must meet ALL of the above membership eligibility requirements.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They must get approval from the Unit Director of the Club before attending.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This may require 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meeting or call with the parent in advance at the discretion of the Unit Director.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